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52E24" w14:textId="77777777" w:rsidR="003C1143" w:rsidRPr="003C1143" w:rsidRDefault="003C1143" w:rsidP="003C1143">
      <w:pPr>
        <w:shd w:val="clear" w:color="auto" w:fill="FFFFFF"/>
        <w:spacing w:after="0"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color w:val="000000"/>
          <w:sz w:val="21"/>
          <w:szCs w:val="21"/>
          <w:lang w:eastAsia="es-ES"/>
        </w:rPr>
        <w:t>texto de apoyo</w:t>
      </w:r>
    </w:p>
    <w:p w14:paraId="5F37FA76" w14:textId="77777777" w:rsidR="003C1143" w:rsidRPr="003C1143" w:rsidRDefault="003C1143" w:rsidP="003C1143">
      <w:pPr>
        <w:shd w:val="clear" w:color="auto" w:fill="FFFFFF"/>
        <w:spacing w:after="0" w:line="240" w:lineRule="auto"/>
        <w:rPr>
          <w:rFonts w:ascii="Helvetica" w:eastAsia="Times New Roman" w:hAnsi="Helvetica" w:cs="Helvetica"/>
          <w:color w:val="000000"/>
          <w:sz w:val="21"/>
          <w:szCs w:val="21"/>
          <w:lang w:eastAsia="es-ES"/>
        </w:rPr>
      </w:pPr>
    </w:p>
    <w:p w14:paraId="0190637A" w14:textId="77777777" w:rsidR="003C1143" w:rsidRPr="003C1143" w:rsidRDefault="003C1143" w:rsidP="003C1143">
      <w:pPr>
        <w:shd w:val="clear" w:color="auto" w:fill="FFFFFF"/>
        <w:spacing w:before="100" w:beforeAutospacing="1" w:after="100" w:afterAutospacing="1"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b/>
          <w:bCs/>
          <w:color w:val="000000"/>
          <w:sz w:val="21"/>
          <w:szCs w:val="21"/>
          <w:lang w:eastAsia="es-ES"/>
        </w:rPr>
        <w:t xml:space="preserve">BYD entra en el Top 100 de </w:t>
      </w:r>
      <w:proofErr w:type="spellStart"/>
      <w:r w:rsidRPr="003C1143">
        <w:rPr>
          <w:rFonts w:ascii="Helvetica" w:eastAsia="Times New Roman" w:hAnsi="Helvetica" w:cs="Helvetica"/>
          <w:b/>
          <w:bCs/>
          <w:color w:val="000000"/>
          <w:sz w:val="21"/>
          <w:szCs w:val="21"/>
          <w:lang w:eastAsia="es-ES"/>
        </w:rPr>
        <w:t>Fortune</w:t>
      </w:r>
      <w:proofErr w:type="spellEnd"/>
      <w:r w:rsidRPr="003C1143">
        <w:rPr>
          <w:rFonts w:ascii="Helvetica" w:eastAsia="Times New Roman" w:hAnsi="Helvetica" w:cs="Helvetica"/>
          <w:b/>
          <w:bCs/>
          <w:color w:val="000000"/>
          <w:sz w:val="21"/>
          <w:szCs w:val="21"/>
          <w:lang w:eastAsia="es-ES"/>
        </w:rPr>
        <w:t xml:space="preserve"> Global 500</w:t>
      </w:r>
    </w:p>
    <w:p w14:paraId="1B44F44C" w14:textId="77777777" w:rsidR="003C1143" w:rsidRPr="003C1143" w:rsidRDefault="003C1143" w:rsidP="003C1143">
      <w:pPr>
        <w:shd w:val="clear" w:color="auto" w:fill="FFFFFF"/>
        <w:spacing w:before="100" w:beforeAutospacing="1" w:after="100" w:afterAutospacing="1"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color w:val="000000"/>
          <w:sz w:val="21"/>
          <w:szCs w:val="21"/>
          <w:lang w:eastAsia="es-ES"/>
        </w:rPr>
        <w:t>BYD ha alcanzado el </w:t>
      </w:r>
      <w:r w:rsidRPr="003C1143">
        <w:rPr>
          <w:rFonts w:ascii="Helvetica" w:eastAsia="Times New Roman" w:hAnsi="Helvetica" w:cs="Helvetica"/>
          <w:b/>
          <w:bCs/>
          <w:color w:val="000000"/>
          <w:sz w:val="21"/>
          <w:szCs w:val="21"/>
          <w:lang w:eastAsia="es-ES"/>
        </w:rPr>
        <w:t>puesto 91</w:t>
      </w:r>
      <w:r w:rsidRPr="003C1143">
        <w:rPr>
          <w:rFonts w:ascii="Helvetica" w:eastAsia="Times New Roman" w:hAnsi="Helvetica" w:cs="Helvetica"/>
          <w:color w:val="000000"/>
          <w:sz w:val="21"/>
          <w:szCs w:val="21"/>
          <w:lang w:eastAsia="es-ES"/>
        </w:rPr>
        <w:t> en la lista </w:t>
      </w:r>
      <w:proofErr w:type="spellStart"/>
      <w:r w:rsidRPr="003C1143">
        <w:rPr>
          <w:rFonts w:ascii="Helvetica" w:eastAsia="Times New Roman" w:hAnsi="Helvetica" w:cs="Helvetica"/>
          <w:b/>
          <w:bCs/>
          <w:color w:val="000000"/>
          <w:sz w:val="21"/>
          <w:szCs w:val="21"/>
          <w:lang w:eastAsia="es-ES"/>
        </w:rPr>
        <w:t>Fortune</w:t>
      </w:r>
      <w:proofErr w:type="spellEnd"/>
      <w:r w:rsidRPr="003C1143">
        <w:rPr>
          <w:rFonts w:ascii="Helvetica" w:eastAsia="Times New Roman" w:hAnsi="Helvetica" w:cs="Helvetica"/>
          <w:b/>
          <w:bCs/>
          <w:color w:val="000000"/>
          <w:sz w:val="21"/>
          <w:szCs w:val="21"/>
          <w:lang w:eastAsia="es-ES"/>
        </w:rPr>
        <w:t xml:space="preserve"> Global 500 de 2026</w:t>
      </w:r>
      <w:r w:rsidRPr="003C1143">
        <w:rPr>
          <w:rFonts w:ascii="Helvetica" w:eastAsia="Times New Roman" w:hAnsi="Helvetica" w:cs="Helvetica"/>
          <w:color w:val="000000"/>
          <w:sz w:val="21"/>
          <w:szCs w:val="21"/>
          <w:lang w:eastAsia="es-ES"/>
        </w:rPr>
        <w:t>, lo que supone su quinto año consecutivo dentro de este índice de grandes compañías mundiales. La marca entra así en el grupo de las cien primeras empresas del ranking, apoyada en el crecimiento de sus ventas de vehículos enchufables, sus ingresos y su expansión internacional.</w:t>
      </w:r>
    </w:p>
    <w:p w14:paraId="3F5CCB32" w14:textId="77777777" w:rsidR="003C1143" w:rsidRPr="003C1143" w:rsidRDefault="003C1143" w:rsidP="003C1143">
      <w:pPr>
        <w:shd w:val="clear" w:color="auto" w:fill="FFFFFF"/>
        <w:spacing w:before="100" w:beforeAutospacing="1" w:after="100" w:afterAutospacing="1"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b/>
          <w:bCs/>
          <w:color w:val="000000"/>
          <w:sz w:val="21"/>
          <w:szCs w:val="21"/>
          <w:lang w:eastAsia="es-ES"/>
        </w:rPr>
        <w:t>Más de 104.000 millones de euros de ingresos</w:t>
      </w:r>
    </w:p>
    <w:p w14:paraId="65EC1C5C" w14:textId="77777777" w:rsidR="003C1143" w:rsidRPr="003C1143" w:rsidRDefault="003C1143" w:rsidP="003C1143">
      <w:pPr>
        <w:shd w:val="clear" w:color="auto" w:fill="FFFFFF"/>
        <w:spacing w:before="100" w:beforeAutospacing="1" w:after="100" w:afterAutospacing="1"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color w:val="000000"/>
          <w:sz w:val="21"/>
          <w:szCs w:val="21"/>
          <w:lang w:eastAsia="es-ES"/>
        </w:rPr>
        <w:t>En 2025, BYD registró unos ingresos de </w:t>
      </w:r>
      <w:r w:rsidRPr="003C1143">
        <w:rPr>
          <w:rFonts w:ascii="Helvetica" w:eastAsia="Times New Roman" w:hAnsi="Helvetica" w:cs="Helvetica"/>
          <w:b/>
          <w:bCs/>
          <w:color w:val="000000"/>
          <w:sz w:val="21"/>
          <w:szCs w:val="21"/>
          <w:lang w:eastAsia="es-ES"/>
        </w:rPr>
        <w:t>804.000 millones de yuanes</w:t>
      </w:r>
      <w:r w:rsidRPr="003C1143">
        <w:rPr>
          <w:rFonts w:ascii="Helvetica" w:eastAsia="Times New Roman" w:hAnsi="Helvetica" w:cs="Helvetica"/>
          <w:color w:val="000000"/>
          <w:sz w:val="21"/>
          <w:szCs w:val="21"/>
          <w:lang w:eastAsia="es-ES"/>
        </w:rPr>
        <w:t>, equivalentes a unos </w:t>
      </w:r>
      <w:r w:rsidRPr="003C1143">
        <w:rPr>
          <w:rFonts w:ascii="Helvetica" w:eastAsia="Times New Roman" w:hAnsi="Helvetica" w:cs="Helvetica"/>
          <w:b/>
          <w:bCs/>
          <w:color w:val="000000"/>
          <w:sz w:val="21"/>
          <w:szCs w:val="21"/>
          <w:lang w:eastAsia="es-ES"/>
        </w:rPr>
        <w:t xml:space="preserve">104.190 millones de </w:t>
      </w:r>
      <w:proofErr w:type="spellStart"/>
      <w:r w:rsidRPr="003C1143">
        <w:rPr>
          <w:rFonts w:ascii="Helvetica" w:eastAsia="Times New Roman" w:hAnsi="Helvetica" w:cs="Helvetica"/>
          <w:b/>
          <w:bCs/>
          <w:color w:val="000000"/>
          <w:sz w:val="21"/>
          <w:szCs w:val="21"/>
          <w:lang w:eastAsia="es-ES"/>
        </w:rPr>
        <w:t>euros</w:t>
      </w:r>
      <w:r w:rsidRPr="003C1143">
        <w:rPr>
          <w:rFonts w:ascii="Helvetica" w:eastAsia="Times New Roman" w:hAnsi="Helvetica" w:cs="Helvetica"/>
          <w:color w:val="000000"/>
          <w:sz w:val="21"/>
          <w:szCs w:val="21"/>
          <w:lang w:eastAsia="es-ES"/>
        </w:rPr>
        <w:t>según</w:t>
      </w:r>
      <w:proofErr w:type="spellEnd"/>
      <w:r w:rsidRPr="003C1143">
        <w:rPr>
          <w:rFonts w:ascii="Helvetica" w:eastAsia="Times New Roman" w:hAnsi="Helvetica" w:cs="Helvetica"/>
          <w:color w:val="000000"/>
          <w:sz w:val="21"/>
          <w:szCs w:val="21"/>
          <w:lang w:eastAsia="es-ES"/>
        </w:rPr>
        <w:t xml:space="preserve"> el cambio aplicado por la compañía. El beneficio neto fue de </w:t>
      </w:r>
      <w:r w:rsidRPr="003C1143">
        <w:rPr>
          <w:rFonts w:ascii="Helvetica" w:eastAsia="Times New Roman" w:hAnsi="Helvetica" w:cs="Helvetica"/>
          <w:b/>
          <w:bCs/>
          <w:color w:val="000000"/>
          <w:sz w:val="21"/>
          <w:szCs w:val="21"/>
          <w:lang w:eastAsia="es-ES"/>
        </w:rPr>
        <w:t>32.600 millones de yuanes</w:t>
      </w:r>
      <w:r w:rsidRPr="003C1143">
        <w:rPr>
          <w:rFonts w:ascii="Helvetica" w:eastAsia="Times New Roman" w:hAnsi="Helvetica" w:cs="Helvetica"/>
          <w:color w:val="000000"/>
          <w:sz w:val="21"/>
          <w:szCs w:val="21"/>
          <w:lang w:eastAsia="es-ES"/>
        </w:rPr>
        <w:t>, alrededor de </w:t>
      </w:r>
      <w:r w:rsidRPr="003C1143">
        <w:rPr>
          <w:rFonts w:ascii="Helvetica" w:eastAsia="Times New Roman" w:hAnsi="Helvetica" w:cs="Helvetica"/>
          <w:b/>
          <w:bCs/>
          <w:color w:val="000000"/>
          <w:sz w:val="21"/>
          <w:szCs w:val="21"/>
          <w:lang w:eastAsia="es-ES"/>
        </w:rPr>
        <w:t>4.224 millones de euros</w:t>
      </w:r>
      <w:r w:rsidRPr="003C1143">
        <w:rPr>
          <w:rFonts w:ascii="Helvetica" w:eastAsia="Times New Roman" w:hAnsi="Helvetica" w:cs="Helvetica"/>
          <w:color w:val="000000"/>
          <w:sz w:val="21"/>
          <w:szCs w:val="21"/>
          <w:lang w:eastAsia="es-ES"/>
        </w:rPr>
        <w:t>.</w:t>
      </w:r>
    </w:p>
    <w:p w14:paraId="2E08D9D4" w14:textId="77777777" w:rsidR="003C1143" w:rsidRPr="003C1143" w:rsidRDefault="003C1143" w:rsidP="003C1143">
      <w:pPr>
        <w:shd w:val="clear" w:color="auto" w:fill="FFFFFF"/>
        <w:spacing w:before="100" w:beforeAutospacing="1" w:after="100" w:afterAutospacing="1"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color w:val="000000"/>
          <w:sz w:val="21"/>
          <w:szCs w:val="21"/>
          <w:lang w:eastAsia="es-ES"/>
        </w:rPr>
        <w:t>En el mismo ejercicio, la compañía comercializó </w:t>
      </w:r>
      <w:r w:rsidRPr="003C1143">
        <w:rPr>
          <w:rFonts w:ascii="Helvetica" w:eastAsia="Times New Roman" w:hAnsi="Helvetica" w:cs="Helvetica"/>
          <w:b/>
          <w:bCs/>
          <w:color w:val="000000"/>
          <w:sz w:val="21"/>
          <w:szCs w:val="21"/>
          <w:lang w:eastAsia="es-ES"/>
        </w:rPr>
        <w:t>4,6 millones de vehículos enchufables</w:t>
      </w:r>
      <w:r w:rsidRPr="003C1143">
        <w:rPr>
          <w:rFonts w:ascii="Helvetica" w:eastAsia="Times New Roman" w:hAnsi="Helvetica" w:cs="Helvetica"/>
          <w:color w:val="000000"/>
          <w:sz w:val="21"/>
          <w:szCs w:val="21"/>
          <w:lang w:eastAsia="es-ES"/>
        </w:rPr>
        <w:t> en todo el mundo. Este ritmo se ha mantenido durante 2026, con más de </w:t>
      </w:r>
      <w:r w:rsidRPr="003C1143">
        <w:rPr>
          <w:rFonts w:ascii="Helvetica" w:eastAsia="Times New Roman" w:hAnsi="Helvetica" w:cs="Helvetica"/>
          <w:b/>
          <w:bCs/>
          <w:color w:val="000000"/>
          <w:sz w:val="21"/>
          <w:szCs w:val="21"/>
          <w:lang w:eastAsia="es-ES"/>
        </w:rPr>
        <w:t>1,8 millones de unidades vendidas</w:t>
      </w:r>
      <w:r w:rsidRPr="003C1143">
        <w:rPr>
          <w:rFonts w:ascii="Helvetica" w:eastAsia="Times New Roman" w:hAnsi="Helvetica" w:cs="Helvetica"/>
          <w:color w:val="000000"/>
          <w:sz w:val="21"/>
          <w:szCs w:val="21"/>
          <w:lang w:eastAsia="es-ES"/>
        </w:rPr>
        <w:t> en los seis primeros meses del año. La marca también ha comunicado recientemente la producción de su </w:t>
      </w:r>
      <w:r w:rsidRPr="003C1143">
        <w:rPr>
          <w:rFonts w:ascii="Helvetica" w:eastAsia="Times New Roman" w:hAnsi="Helvetica" w:cs="Helvetica"/>
          <w:b/>
          <w:bCs/>
          <w:color w:val="000000"/>
          <w:sz w:val="21"/>
          <w:szCs w:val="21"/>
          <w:lang w:eastAsia="es-ES"/>
        </w:rPr>
        <w:t>vehículo enchufable número 17 millones</w:t>
      </w:r>
      <w:r w:rsidRPr="003C1143">
        <w:rPr>
          <w:rFonts w:ascii="Helvetica" w:eastAsia="Times New Roman" w:hAnsi="Helvetica" w:cs="Helvetica"/>
          <w:color w:val="000000"/>
          <w:sz w:val="21"/>
          <w:szCs w:val="21"/>
          <w:lang w:eastAsia="es-ES"/>
        </w:rPr>
        <w:t>.</w:t>
      </w:r>
    </w:p>
    <w:p w14:paraId="24995CC7" w14:textId="77777777" w:rsidR="003C1143" w:rsidRPr="003C1143" w:rsidRDefault="003C1143" w:rsidP="003C1143">
      <w:pPr>
        <w:shd w:val="clear" w:color="auto" w:fill="FFFFFF"/>
        <w:spacing w:before="100" w:beforeAutospacing="1" w:after="100" w:afterAutospacing="1"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b/>
          <w:bCs/>
          <w:color w:val="000000"/>
          <w:sz w:val="21"/>
          <w:szCs w:val="21"/>
          <w:lang w:eastAsia="es-ES"/>
        </w:rPr>
        <w:t>Más inversión en I+D</w:t>
      </w:r>
    </w:p>
    <w:p w14:paraId="2A891210" w14:textId="77777777" w:rsidR="003C1143" w:rsidRPr="003C1143" w:rsidRDefault="003C1143" w:rsidP="003C1143">
      <w:pPr>
        <w:shd w:val="clear" w:color="auto" w:fill="FFFFFF"/>
        <w:spacing w:before="100" w:beforeAutospacing="1" w:after="100" w:afterAutospacing="1"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color w:val="000000"/>
          <w:sz w:val="21"/>
          <w:szCs w:val="21"/>
          <w:lang w:eastAsia="es-ES"/>
        </w:rPr>
        <w:t>Uno de los ejes del crecimiento de BYD sigue siendo la inversión tecnológica. En 2025, la compañía destinó </w:t>
      </w:r>
      <w:r w:rsidRPr="003C1143">
        <w:rPr>
          <w:rFonts w:ascii="Helvetica" w:eastAsia="Times New Roman" w:hAnsi="Helvetica" w:cs="Helvetica"/>
          <w:b/>
          <w:bCs/>
          <w:color w:val="000000"/>
          <w:sz w:val="21"/>
          <w:szCs w:val="21"/>
          <w:lang w:eastAsia="es-ES"/>
        </w:rPr>
        <w:t>63.400 millones de yuanes</w:t>
      </w:r>
      <w:r w:rsidRPr="003C1143">
        <w:rPr>
          <w:rFonts w:ascii="Helvetica" w:eastAsia="Times New Roman" w:hAnsi="Helvetica" w:cs="Helvetica"/>
          <w:color w:val="000000"/>
          <w:sz w:val="21"/>
          <w:szCs w:val="21"/>
          <w:lang w:eastAsia="es-ES"/>
        </w:rPr>
        <w:t> a I+D, unos </w:t>
      </w:r>
      <w:r w:rsidRPr="003C1143">
        <w:rPr>
          <w:rFonts w:ascii="Helvetica" w:eastAsia="Times New Roman" w:hAnsi="Helvetica" w:cs="Helvetica"/>
          <w:b/>
          <w:bCs/>
          <w:color w:val="000000"/>
          <w:sz w:val="21"/>
          <w:szCs w:val="21"/>
          <w:lang w:eastAsia="es-ES"/>
        </w:rPr>
        <w:t>8.216 millones de euros</w:t>
      </w:r>
      <w:r w:rsidRPr="003C1143">
        <w:rPr>
          <w:rFonts w:ascii="Helvetica" w:eastAsia="Times New Roman" w:hAnsi="Helvetica" w:cs="Helvetica"/>
          <w:color w:val="000000"/>
          <w:sz w:val="21"/>
          <w:szCs w:val="21"/>
          <w:lang w:eastAsia="es-ES"/>
        </w:rPr>
        <w:t>, lo que supone un incremento del </w:t>
      </w:r>
      <w:r w:rsidRPr="003C1143">
        <w:rPr>
          <w:rFonts w:ascii="Helvetica" w:eastAsia="Times New Roman" w:hAnsi="Helvetica" w:cs="Helvetica"/>
          <w:b/>
          <w:bCs/>
          <w:color w:val="000000"/>
          <w:sz w:val="21"/>
          <w:szCs w:val="21"/>
          <w:lang w:eastAsia="es-ES"/>
        </w:rPr>
        <w:t>17 %</w:t>
      </w:r>
      <w:r w:rsidRPr="003C1143">
        <w:rPr>
          <w:rFonts w:ascii="Helvetica" w:eastAsia="Times New Roman" w:hAnsi="Helvetica" w:cs="Helvetica"/>
          <w:color w:val="000000"/>
          <w:sz w:val="21"/>
          <w:szCs w:val="21"/>
          <w:lang w:eastAsia="es-ES"/>
        </w:rPr>
        <w:t> respecto al año anterior.</w:t>
      </w:r>
    </w:p>
    <w:p w14:paraId="6786CC7F" w14:textId="77777777" w:rsidR="003C1143" w:rsidRPr="003C1143" w:rsidRDefault="003C1143" w:rsidP="003C1143">
      <w:pPr>
        <w:shd w:val="clear" w:color="auto" w:fill="FFFFFF"/>
        <w:spacing w:before="100" w:beforeAutospacing="1" w:after="100" w:afterAutospacing="1"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color w:val="000000"/>
          <w:sz w:val="21"/>
          <w:szCs w:val="21"/>
          <w:lang w:eastAsia="es-ES"/>
        </w:rPr>
        <w:t>En el primer trimestre de 2026, el gasto en investigación y desarrollo alcanzó los </w:t>
      </w:r>
      <w:r w:rsidRPr="003C1143">
        <w:rPr>
          <w:rFonts w:ascii="Helvetica" w:eastAsia="Times New Roman" w:hAnsi="Helvetica" w:cs="Helvetica"/>
          <w:b/>
          <w:bCs/>
          <w:color w:val="000000"/>
          <w:sz w:val="21"/>
          <w:szCs w:val="21"/>
          <w:lang w:eastAsia="es-ES"/>
        </w:rPr>
        <w:t>11.300 millones de yuanes</w:t>
      </w:r>
      <w:r w:rsidRPr="003C1143">
        <w:rPr>
          <w:rFonts w:ascii="Helvetica" w:eastAsia="Times New Roman" w:hAnsi="Helvetica" w:cs="Helvetica"/>
          <w:color w:val="000000"/>
          <w:sz w:val="21"/>
          <w:szCs w:val="21"/>
          <w:lang w:eastAsia="es-ES"/>
        </w:rPr>
        <w:t>, unos </w:t>
      </w:r>
      <w:r w:rsidRPr="003C1143">
        <w:rPr>
          <w:rFonts w:ascii="Helvetica" w:eastAsia="Times New Roman" w:hAnsi="Helvetica" w:cs="Helvetica"/>
          <w:b/>
          <w:bCs/>
          <w:color w:val="000000"/>
          <w:sz w:val="21"/>
          <w:szCs w:val="21"/>
          <w:lang w:eastAsia="es-ES"/>
        </w:rPr>
        <w:t>1.464 millones de euros</w:t>
      </w:r>
      <w:r w:rsidRPr="003C1143">
        <w:rPr>
          <w:rFonts w:ascii="Helvetica" w:eastAsia="Times New Roman" w:hAnsi="Helvetica" w:cs="Helvetica"/>
          <w:color w:val="000000"/>
          <w:sz w:val="21"/>
          <w:szCs w:val="21"/>
          <w:lang w:eastAsia="es-ES"/>
        </w:rPr>
        <w:t>. Según los datos facilitados por la compañía, la inversión acumulada de BYD en I+D supera ya los </w:t>
      </w:r>
      <w:r w:rsidRPr="003C1143">
        <w:rPr>
          <w:rFonts w:ascii="Helvetica" w:eastAsia="Times New Roman" w:hAnsi="Helvetica" w:cs="Helvetica"/>
          <w:b/>
          <w:bCs/>
          <w:color w:val="000000"/>
          <w:sz w:val="21"/>
          <w:szCs w:val="21"/>
          <w:lang w:eastAsia="es-ES"/>
        </w:rPr>
        <w:t>250.000 millones de yuanes</w:t>
      </w:r>
      <w:r w:rsidRPr="003C1143">
        <w:rPr>
          <w:rFonts w:ascii="Helvetica" w:eastAsia="Times New Roman" w:hAnsi="Helvetica" w:cs="Helvetica"/>
          <w:color w:val="000000"/>
          <w:sz w:val="21"/>
          <w:szCs w:val="21"/>
          <w:lang w:eastAsia="es-ES"/>
        </w:rPr>
        <w:t>, equivalentes a </w:t>
      </w:r>
      <w:r w:rsidRPr="003C1143">
        <w:rPr>
          <w:rFonts w:ascii="Helvetica" w:eastAsia="Times New Roman" w:hAnsi="Helvetica" w:cs="Helvetica"/>
          <w:b/>
          <w:bCs/>
          <w:color w:val="000000"/>
          <w:sz w:val="21"/>
          <w:szCs w:val="21"/>
          <w:lang w:eastAsia="es-ES"/>
        </w:rPr>
        <w:t>32.397 millones de euros</w:t>
      </w:r>
      <w:r w:rsidRPr="003C1143">
        <w:rPr>
          <w:rFonts w:ascii="Helvetica" w:eastAsia="Times New Roman" w:hAnsi="Helvetica" w:cs="Helvetica"/>
          <w:color w:val="000000"/>
          <w:sz w:val="21"/>
          <w:szCs w:val="21"/>
          <w:lang w:eastAsia="es-ES"/>
        </w:rPr>
        <w:t>.</w:t>
      </w:r>
    </w:p>
    <w:p w14:paraId="3960186D" w14:textId="77777777" w:rsidR="003C1143" w:rsidRPr="003C1143" w:rsidRDefault="003C1143" w:rsidP="003C1143">
      <w:pPr>
        <w:shd w:val="clear" w:color="auto" w:fill="FFFFFF"/>
        <w:spacing w:before="100" w:beforeAutospacing="1" w:after="100" w:afterAutospacing="1"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color w:val="000000"/>
          <w:sz w:val="21"/>
          <w:szCs w:val="21"/>
          <w:lang w:eastAsia="es-ES"/>
        </w:rPr>
        <w:t>Dentro de esta estrategia se incluyen desarrollos como la segunda generación de la </w:t>
      </w:r>
      <w:r w:rsidRPr="003C1143">
        <w:rPr>
          <w:rFonts w:ascii="Helvetica" w:eastAsia="Times New Roman" w:hAnsi="Helvetica" w:cs="Helvetica"/>
          <w:b/>
          <w:bCs/>
          <w:color w:val="000000"/>
          <w:sz w:val="21"/>
          <w:szCs w:val="21"/>
          <w:lang w:eastAsia="es-ES"/>
        </w:rPr>
        <w:t xml:space="preserve">Blade </w:t>
      </w:r>
      <w:proofErr w:type="spellStart"/>
      <w:r w:rsidRPr="003C1143">
        <w:rPr>
          <w:rFonts w:ascii="Helvetica" w:eastAsia="Times New Roman" w:hAnsi="Helvetica" w:cs="Helvetica"/>
          <w:b/>
          <w:bCs/>
          <w:color w:val="000000"/>
          <w:sz w:val="21"/>
          <w:szCs w:val="21"/>
          <w:lang w:eastAsia="es-ES"/>
        </w:rPr>
        <w:t>Battery</w:t>
      </w:r>
      <w:proofErr w:type="spellEnd"/>
      <w:r w:rsidRPr="003C1143">
        <w:rPr>
          <w:rFonts w:ascii="Helvetica" w:eastAsia="Times New Roman" w:hAnsi="Helvetica" w:cs="Helvetica"/>
          <w:color w:val="000000"/>
          <w:sz w:val="21"/>
          <w:szCs w:val="21"/>
          <w:lang w:eastAsia="es-ES"/>
        </w:rPr>
        <w:t> y la tecnología </w:t>
      </w:r>
      <w:r w:rsidRPr="003C1143">
        <w:rPr>
          <w:rFonts w:ascii="Helvetica" w:eastAsia="Times New Roman" w:hAnsi="Helvetica" w:cs="Helvetica"/>
          <w:b/>
          <w:bCs/>
          <w:color w:val="000000"/>
          <w:sz w:val="21"/>
          <w:szCs w:val="21"/>
          <w:lang w:eastAsia="es-ES"/>
        </w:rPr>
        <w:t xml:space="preserve">Flash </w:t>
      </w:r>
      <w:proofErr w:type="spellStart"/>
      <w:r w:rsidRPr="003C1143">
        <w:rPr>
          <w:rFonts w:ascii="Helvetica" w:eastAsia="Times New Roman" w:hAnsi="Helvetica" w:cs="Helvetica"/>
          <w:b/>
          <w:bCs/>
          <w:color w:val="000000"/>
          <w:sz w:val="21"/>
          <w:szCs w:val="21"/>
          <w:lang w:eastAsia="es-ES"/>
        </w:rPr>
        <w:t>Charging</w:t>
      </w:r>
      <w:proofErr w:type="spellEnd"/>
      <w:r w:rsidRPr="003C1143">
        <w:rPr>
          <w:rFonts w:ascii="Helvetica" w:eastAsia="Times New Roman" w:hAnsi="Helvetica" w:cs="Helvetica"/>
          <w:color w:val="000000"/>
          <w:sz w:val="21"/>
          <w:szCs w:val="21"/>
          <w:lang w:eastAsia="es-ES"/>
        </w:rPr>
        <w:t>, presentada en marzo. BYD prevé desplegar </w:t>
      </w:r>
      <w:r w:rsidRPr="003C1143">
        <w:rPr>
          <w:rFonts w:ascii="Helvetica" w:eastAsia="Times New Roman" w:hAnsi="Helvetica" w:cs="Helvetica"/>
          <w:b/>
          <w:bCs/>
          <w:color w:val="000000"/>
          <w:sz w:val="21"/>
          <w:szCs w:val="21"/>
          <w:lang w:eastAsia="es-ES"/>
        </w:rPr>
        <w:t xml:space="preserve">6.000 estaciones Flash </w:t>
      </w:r>
      <w:proofErr w:type="spellStart"/>
      <w:r w:rsidRPr="003C1143">
        <w:rPr>
          <w:rFonts w:ascii="Helvetica" w:eastAsia="Times New Roman" w:hAnsi="Helvetica" w:cs="Helvetica"/>
          <w:b/>
          <w:bCs/>
          <w:color w:val="000000"/>
          <w:sz w:val="21"/>
          <w:szCs w:val="21"/>
          <w:lang w:eastAsia="es-ES"/>
        </w:rPr>
        <w:t>Charging</w:t>
      </w:r>
      <w:proofErr w:type="spellEnd"/>
      <w:r w:rsidRPr="003C1143">
        <w:rPr>
          <w:rFonts w:ascii="Helvetica" w:eastAsia="Times New Roman" w:hAnsi="Helvetica" w:cs="Helvetica"/>
          <w:b/>
          <w:bCs/>
          <w:color w:val="000000"/>
          <w:sz w:val="21"/>
          <w:szCs w:val="21"/>
          <w:lang w:eastAsia="es-ES"/>
        </w:rPr>
        <w:t xml:space="preserve"> fuera de China</w:t>
      </w:r>
      <w:r w:rsidRPr="003C1143">
        <w:rPr>
          <w:rFonts w:ascii="Helvetica" w:eastAsia="Times New Roman" w:hAnsi="Helvetica" w:cs="Helvetica"/>
          <w:color w:val="000000"/>
          <w:sz w:val="21"/>
          <w:szCs w:val="21"/>
          <w:lang w:eastAsia="es-ES"/>
        </w:rPr>
        <w:t> durante los próximos 12 meses, con </w:t>
      </w:r>
      <w:r w:rsidRPr="003C1143">
        <w:rPr>
          <w:rFonts w:ascii="Helvetica" w:eastAsia="Times New Roman" w:hAnsi="Helvetica" w:cs="Helvetica"/>
          <w:b/>
          <w:bCs/>
          <w:color w:val="000000"/>
          <w:sz w:val="21"/>
          <w:szCs w:val="21"/>
          <w:lang w:eastAsia="es-ES"/>
        </w:rPr>
        <w:t>3.000 en Europa</w:t>
      </w:r>
      <w:r w:rsidRPr="003C1143">
        <w:rPr>
          <w:rFonts w:ascii="Helvetica" w:eastAsia="Times New Roman" w:hAnsi="Helvetica" w:cs="Helvetica"/>
          <w:color w:val="000000"/>
          <w:sz w:val="21"/>
          <w:szCs w:val="21"/>
          <w:lang w:eastAsia="es-ES"/>
        </w:rPr>
        <w:t>, de las que </w:t>
      </w:r>
      <w:r w:rsidRPr="003C1143">
        <w:rPr>
          <w:rFonts w:ascii="Helvetica" w:eastAsia="Times New Roman" w:hAnsi="Helvetica" w:cs="Helvetica"/>
          <w:b/>
          <w:bCs/>
          <w:color w:val="000000"/>
          <w:sz w:val="21"/>
          <w:szCs w:val="21"/>
          <w:lang w:eastAsia="es-ES"/>
        </w:rPr>
        <w:t>300 estarían en España</w:t>
      </w:r>
      <w:r w:rsidRPr="003C1143">
        <w:rPr>
          <w:rFonts w:ascii="Helvetica" w:eastAsia="Times New Roman" w:hAnsi="Helvetica" w:cs="Helvetica"/>
          <w:color w:val="000000"/>
          <w:sz w:val="21"/>
          <w:szCs w:val="21"/>
          <w:lang w:eastAsia="es-ES"/>
        </w:rPr>
        <w:t> y </w:t>
      </w:r>
      <w:r w:rsidRPr="003C1143">
        <w:rPr>
          <w:rFonts w:ascii="Helvetica" w:eastAsia="Times New Roman" w:hAnsi="Helvetica" w:cs="Helvetica"/>
          <w:b/>
          <w:bCs/>
          <w:color w:val="000000"/>
          <w:sz w:val="21"/>
          <w:szCs w:val="21"/>
          <w:lang w:eastAsia="es-ES"/>
        </w:rPr>
        <w:t>50 en Portugal</w:t>
      </w:r>
      <w:r w:rsidRPr="003C1143">
        <w:rPr>
          <w:rFonts w:ascii="Helvetica" w:eastAsia="Times New Roman" w:hAnsi="Helvetica" w:cs="Helvetica"/>
          <w:color w:val="000000"/>
          <w:sz w:val="21"/>
          <w:szCs w:val="21"/>
          <w:lang w:eastAsia="es-ES"/>
        </w:rPr>
        <w:t>.</w:t>
      </w:r>
    </w:p>
    <w:p w14:paraId="3695E3D7" w14:textId="77777777" w:rsidR="003C1143" w:rsidRPr="003C1143" w:rsidRDefault="003C1143" w:rsidP="003C1143">
      <w:pPr>
        <w:shd w:val="clear" w:color="auto" w:fill="FFFFFF"/>
        <w:spacing w:before="100" w:beforeAutospacing="1" w:after="100" w:afterAutospacing="1"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b/>
          <w:bCs/>
          <w:color w:val="000000"/>
          <w:sz w:val="21"/>
          <w:szCs w:val="21"/>
          <w:lang w:eastAsia="es-ES"/>
        </w:rPr>
        <w:t>Crecimiento fuera de China</w:t>
      </w:r>
    </w:p>
    <w:p w14:paraId="2F528B91" w14:textId="77777777" w:rsidR="003C1143" w:rsidRPr="003C1143" w:rsidRDefault="003C1143" w:rsidP="003C1143">
      <w:pPr>
        <w:shd w:val="clear" w:color="auto" w:fill="FFFFFF"/>
        <w:spacing w:before="100" w:beforeAutospacing="1" w:after="100" w:afterAutospacing="1"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color w:val="000000"/>
          <w:sz w:val="21"/>
          <w:szCs w:val="21"/>
          <w:lang w:eastAsia="es-ES"/>
        </w:rPr>
        <w:t>La expansión internacional también gana peso en los resultados de BYD. En 2025, las ventas fuera de China superaron por primera vez el </w:t>
      </w:r>
      <w:r w:rsidRPr="003C1143">
        <w:rPr>
          <w:rFonts w:ascii="Helvetica" w:eastAsia="Times New Roman" w:hAnsi="Helvetica" w:cs="Helvetica"/>
          <w:b/>
          <w:bCs/>
          <w:color w:val="000000"/>
          <w:sz w:val="21"/>
          <w:szCs w:val="21"/>
          <w:lang w:eastAsia="es-ES"/>
        </w:rPr>
        <w:t>millón de unidades</w:t>
      </w:r>
      <w:r w:rsidRPr="003C1143">
        <w:rPr>
          <w:rFonts w:ascii="Helvetica" w:eastAsia="Times New Roman" w:hAnsi="Helvetica" w:cs="Helvetica"/>
          <w:color w:val="000000"/>
          <w:sz w:val="21"/>
          <w:szCs w:val="21"/>
          <w:lang w:eastAsia="es-ES"/>
        </w:rPr>
        <w:t>, con un crecimiento interanual del </w:t>
      </w:r>
      <w:r w:rsidRPr="003C1143">
        <w:rPr>
          <w:rFonts w:ascii="Helvetica" w:eastAsia="Times New Roman" w:hAnsi="Helvetica" w:cs="Helvetica"/>
          <w:b/>
          <w:bCs/>
          <w:color w:val="000000"/>
          <w:sz w:val="21"/>
          <w:szCs w:val="21"/>
          <w:lang w:eastAsia="es-ES"/>
        </w:rPr>
        <w:t>145 %</w:t>
      </w:r>
      <w:r w:rsidRPr="003C1143">
        <w:rPr>
          <w:rFonts w:ascii="Helvetica" w:eastAsia="Times New Roman" w:hAnsi="Helvetica" w:cs="Helvetica"/>
          <w:color w:val="000000"/>
          <w:sz w:val="21"/>
          <w:szCs w:val="21"/>
          <w:lang w:eastAsia="es-ES"/>
        </w:rPr>
        <w:t>. Durante el primer semestre de 2026, la marca ha superado las </w:t>
      </w:r>
      <w:r w:rsidRPr="003C1143">
        <w:rPr>
          <w:rFonts w:ascii="Helvetica" w:eastAsia="Times New Roman" w:hAnsi="Helvetica" w:cs="Helvetica"/>
          <w:b/>
          <w:bCs/>
          <w:color w:val="000000"/>
          <w:sz w:val="21"/>
          <w:szCs w:val="21"/>
          <w:lang w:eastAsia="es-ES"/>
        </w:rPr>
        <w:t>780.000 unidades</w:t>
      </w:r>
      <w:r w:rsidRPr="003C1143">
        <w:rPr>
          <w:rFonts w:ascii="Helvetica" w:eastAsia="Times New Roman" w:hAnsi="Helvetica" w:cs="Helvetica"/>
          <w:color w:val="000000"/>
          <w:sz w:val="21"/>
          <w:szCs w:val="21"/>
          <w:lang w:eastAsia="es-ES"/>
        </w:rPr>
        <w:t> comercializadas en mercados exteriores.</w:t>
      </w:r>
    </w:p>
    <w:p w14:paraId="0CC11910" w14:textId="77777777" w:rsidR="003C1143" w:rsidRPr="003C1143" w:rsidRDefault="003C1143" w:rsidP="003C1143">
      <w:pPr>
        <w:shd w:val="clear" w:color="auto" w:fill="FFFFFF"/>
        <w:spacing w:before="100" w:beforeAutospacing="1" w:after="100" w:afterAutospacing="1"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color w:val="000000"/>
          <w:sz w:val="21"/>
          <w:szCs w:val="21"/>
          <w:lang w:eastAsia="es-ES"/>
        </w:rPr>
        <w:t>BYD asegura que actualmente opera en </w:t>
      </w:r>
      <w:r w:rsidRPr="003C1143">
        <w:rPr>
          <w:rFonts w:ascii="Helvetica" w:eastAsia="Times New Roman" w:hAnsi="Helvetica" w:cs="Helvetica"/>
          <w:b/>
          <w:bCs/>
          <w:color w:val="000000"/>
          <w:sz w:val="21"/>
          <w:szCs w:val="21"/>
          <w:lang w:eastAsia="es-ES"/>
        </w:rPr>
        <w:t>121 mercados</w:t>
      </w:r>
      <w:r w:rsidRPr="003C1143">
        <w:rPr>
          <w:rFonts w:ascii="Helvetica" w:eastAsia="Times New Roman" w:hAnsi="Helvetica" w:cs="Helvetica"/>
          <w:color w:val="000000"/>
          <w:sz w:val="21"/>
          <w:szCs w:val="21"/>
          <w:lang w:eastAsia="es-ES"/>
        </w:rPr>
        <w:t xml:space="preserve">. Entre los hitos recientes citados por la compañía figuran el avance de su actividad en Brasil, la llegada de modelos de la marca </w:t>
      </w:r>
      <w:proofErr w:type="spellStart"/>
      <w:r w:rsidRPr="003C1143">
        <w:rPr>
          <w:rFonts w:ascii="Helvetica" w:eastAsia="Times New Roman" w:hAnsi="Helvetica" w:cs="Helvetica"/>
          <w:color w:val="000000"/>
          <w:sz w:val="21"/>
          <w:szCs w:val="21"/>
          <w:lang w:eastAsia="es-ES"/>
        </w:rPr>
        <w:t>Denza</w:t>
      </w:r>
      <w:proofErr w:type="spellEnd"/>
      <w:r w:rsidRPr="003C1143">
        <w:rPr>
          <w:rFonts w:ascii="Helvetica" w:eastAsia="Times New Roman" w:hAnsi="Helvetica" w:cs="Helvetica"/>
          <w:color w:val="000000"/>
          <w:sz w:val="21"/>
          <w:szCs w:val="21"/>
          <w:lang w:eastAsia="es-ES"/>
        </w:rPr>
        <w:t xml:space="preserve"> a Europa, el desarrollo de un modelo específico para Japón y la consolidación de su fábrica en Tailandia.</w:t>
      </w:r>
    </w:p>
    <w:p w14:paraId="66EB370E" w14:textId="77777777" w:rsidR="003C1143" w:rsidRPr="003C1143" w:rsidRDefault="003C1143" w:rsidP="003C1143">
      <w:pPr>
        <w:shd w:val="clear" w:color="auto" w:fill="FFFFFF"/>
        <w:spacing w:before="100" w:beforeAutospacing="1" w:after="100" w:afterAutospacing="1" w:line="240" w:lineRule="auto"/>
        <w:rPr>
          <w:rFonts w:ascii="Helvetica" w:eastAsia="Times New Roman" w:hAnsi="Helvetica" w:cs="Helvetica"/>
          <w:color w:val="000000"/>
          <w:sz w:val="21"/>
          <w:szCs w:val="21"/>
          <w:lang w:eastAsia="es-ES"/>
        </w:rPr>
      </w:pPr>
      <w:r w:rsidRPr="003C1143">
        <w:rPr>
          <w:rFonts w:ascii="Helvetica" w:eastAsia="Times New Roman" w:hAnsi="Helvetica" w:cs="Helvetica"/>
          <w:color w:val="000000"/>
          <w:sz w:val="21"/>
          <w:szCs w:val="21"/>
          <w:lang w:eastAsia="es-ES"/>
        </w:rPr>
        <w:t>Con estos datos, BYD refuerza su presencia entre los grandes grupos internacionales, en un momento en el que la compañía combina volumen de ventas, inversión tecnológica y una implantación global cada vez mayor.</w:t>
      </w:r>
    </w:p>
    <w:p w14:paraId="2D8BDF4C" w14:textId="77777777" w:rsidR="005F6C24" w:rsidRDefault="005F6C24"/>
    <w:sectPr w:rsidR="005F6C2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FD9"/>
    <w:rsid w:val="00016FD9"/>
    <w:rsid w:val="003C1143"/>
    <w:rsid w:val="005F6C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B8DBE2-0F80-4082-A6F8-9C822037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C114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3C11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940248">
      <w:bodyDiv w:val="1"/>
      <w:marLeft w:val="0"/>
      <w:marRight w:val="0"/>
      <w:marTop w:val="0"/>
      <w:marBottom w:val="0"/>
      <w:divBdr>
        <w:top w:val="none" w:sz="0" w:space="0" w:color="auto"/>
        <w:left w:val="none" w:sz="0" w:space="0" w:color="auto"/>
        <w:bottom w:val="none" w:sz="0" w:space="0" w:color="auto"/>
        <w:right w:val="none" w:sz="0" w:space="0" w:color="auto"/>
      </w:divBdr>
      <w:divsChild>
        <w:div w:id="1138688718">
          <w:marLeft w:val="0"/>
          <w:marRight w:val="0"/>
          <w:marTop w:val="0"/>
          <w:marBottom w:val="0"/>
          <w:divBdr>
            <w:top w:val="none" w:sz="0" w:space="0" w:color="auto"/>
            <w:left w:val="none" w:sz="0" w:space="0" w:color="auto"/>
            <w:bottom w:val="none" w:sz="0" w:space="0" w:color="auto"/>
            <w:right w:val="none" w:sz="0" w:space="0" w:color="auto"/>
          </w:divBdr>
        </w:div>
        <w:div w:id="675887039">
          <w:marLeft w:val="0"/>
          <w:marRight w:val="0"/>
          <w:marTop w:val="0"/>
          <w:marBottom w:val="0"/>
          <w:divBdr>
            <w:top w:val="none" w:sz="0" w:space="0" w:color="auto"/>
            <w:left w:val="none" w:sz="0" w:space="0" w:color="auto"/>
            <w:bottom w:val="none" w:sz="0" w:space="0" w:color="auto"/>
            <w:right w:val="none" w:sz="0" w:space="0" w:color="auto"/>
          </w:divBdr>
        </w:div>
        <w:div w:id="697897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423</Words>
  <Characters>2332</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2026-07-29T10:05:00Z</dcterms:created>
  <dcterms:modified xsi:type="dcterms:W3CDTF">2026-07-29T10:05:00Z</dcterms:modified>
</cp:coreProperties>
</file>